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E" w:rsidRDefault="00E17A0E" w:rsidP="0083313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5E7D" w:rsidRDefault="00415E7D" w:rsidP="00415E7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5E7D">
        <w:rPr>
          <w:rFonts w:ascii="Times New Roman" w:hAnsi="Times New Roman" w:cs="Times New Roman"/>
          <w:b/>
          <w:sz w:val="24"/>
          <w:szCs w:val="24"/>
          <w:u w:val="single"/>
        </w:rPr>
        <w:t>PLANILHA DE COMPOSIÇÃO DO BDI</w:t>
      </w:r>
    </w:p>
    <w:p w:rsidR="00FD7E24" w:rsidRPr="00FD7E24" w:rsidRDefault="00B62E22" w:rsidP="00415E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ANGICOS</w:t>
      </w:r>
    </w:p>
    <w:p w:rsidR="0074191C" w:rsidRDefault="0074191C"/>
    <w:tbl>
      <w:tblPr>
        <w:tblW w:w="6596" w:type="dxa"/>
        <w:jc w:val="center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960"/>
        <w:gridCol w:w="960"/>
        <w:gridCol w:w="960"/>
        <w:gridCol w:w="960"/>
        <w:gridCol w:w="263"/>
        <w:gridCol w:w="1615"/>
      </w:tblGrid>
      <w:tr w:rsidR="008164AE" w:rsidRPr="0074191C" w:rsidTr="008164AE">
        <w:trPr>
          <w:trHeight w:val="315"/>
          <w:jc w:val="center"/>
        </w:trPr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SERVIÇOS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I - TRIBUTOS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5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8</w:t>
            </w: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6</w:t>
            </w: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5%</w:t>
            </w:r>
          </w:p>
        </w:tc>
      </w:tr>
      <w:tr w:rsidR="008164AE" w:rsidRPr="0074191C" w:rsidTr="008164AE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8331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ISS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,00%</w:t>
            </w:r>
          </w:p>
        </w:tc>
        <w:bookmarkStart w:id="0" w:name="_GoBack"/>
        <w:bookmarkEnd w:id="0"/>
      </w:tr>
      <w:tr w:rsidR="008164AE" w:rsidRPr="0074191C" w:rsidTr="008164AE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PIS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0,65%</w:t>
            </w:r>
          </w:p>
        </w:tc>
      </w:tr>
      <w:tr w:rsidR="008164AE" w:rsidRPr="0074191C" w:rsidTr="008164AE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COFINS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3,00%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8331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CPRB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-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AC - TAXA DE RATEIO DA ADMNISTRAÇÃO CENTRAL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4,00%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 + G - SEGUROS E GARANTIAS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0,80%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R - RISCOS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0,97 </w:t>
            </w: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DF - DESPESAS FINANCEIRAS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1,00</w:t>
            </w: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L </w:t>
            </w:r>
            <w:proofErr w:type="gramStart"/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-LUCRO</w:t>
            </w:r>
            <w:proofErr w:type="gramEnd"/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6,89</w:t>
            </w: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164AE" w:rsidRPr="0074191C" w:rsidTr="008164AE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CÁLCULO DO BDI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(%)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164AE" w:rsidRPr="0074191C" w:rsidRDefault="008164AE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25,00</w:t>
            </w:r>
          </w:p>
        </w:tc>
      </w:tr>
    </w:tbl>
    <w:p w:rsidR="00415E7D" w:rsidRDefault="00415E7D"/>
    <w:p w:rsidR="00415E7D" w:rsidRPr="006C758A" w:rsidRDefault="009F5096">
      <w:r>
        <w:t>NOTA</w:t>
      </w:r>
      <w:r w:rsidR="00415E7D" w:rsidRPr="006C758A">
        <w:t>:</w:t>
      </w:r>
    </w:p>
    <w:p w:rsidR="00415E7D" w:rsidRPr="006C758A" w:rsidRDefault="009D1C37">
      <w:r w:rsidRPr="006C758A">
        <w:t>Para o cálculo do BDI deve ser considerada a seguinte fórmula:</w:t>
      </w:r>
      <w:r w:rsidR="00415E7D" w:rsidRPr="006C758A">
        <w:t xml:space="preserve"> </w:t>
      </w:r>
    </w:p>
    <w:p w:rsidR="005771FA" w:rsidRPr="006C758A" w:rsidRDefault="005771FA">
      <w:r w:rsidRPr="006C758A">
        <w:rPr>
          <w:noProof/>
          <w:lang w:eastAsia="pt-BR"/>
        </w:rPr>
        <w:drawing>
          <wp:inline distT="0" distB="0" distL="0" distR="0" wp14:anchorId="7F1423E3" wp14:editId="42B1C94E">
            <wp:extent cx="3190875" cy="557474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42" cy="558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C37" w:rsidRPr="006C758A" w:rsidRDefault="009D1C37">
      <w:r w:rsidRPr="006C758A">
        <w:t>Em que:</w:t>
      </w:r>
    </w:p>
    <w:p w:rsidR="009D1C37" w:rsidRPr="006C758A" w:rsidRDefault="006C758A" w:rsidP="006C758A">
      <w:pPr>
        <w:spacing w:after="0" w:line="240" w:lineRule="auto"/>
      </w:pPr>
      <w:r w:rsidRPr="006C758A">
        <w:t>AC = taxa representativa das despesas de rateio da administração central;</w:t>
      </w:r>
    </w:p>
    <w:p w:rsidR="006C758A" w:rsidRPr="006C758A" w:rsidRDefault="006C758A" w:rsidP="006C758A">
      <w:pPr>
        <w:spacing w:after="0" w:line="240" w:lineRule="auto"/>
      </w:pPr>
      <w:r w:rsidRPr="006C758A">
        <w:t>R = taxa representativa de riscos;</w:t>
      </w:r>
    </w:p>
    <w:p w:rsidR="006C758A" w:rsidRPr="006C758A" w:rsidRDefault="006C758A" w:rsidP="006C758A">
      <w:pPr>
        <w:spacing w:after="0" w:line="240" w:lineRule="auto"/>
      </w:pPr>
      <w:r w:rsidRPr="006C758A">
        <w:t>S = taxa representativa de seguros;</w:t>
      </w:r>
    </w:p>
    <w:p w:rsidR="006C758A" w:rsidRPr="006C758A" w:rsidRDefault="006C758A" w:rsidP="006C758A">
      <w:pPr>
        <w:spacing w:after="0" w:line="240" w:lineRule="auto"/>
      </w:pPr>
      <w:r w:rsidRPr="006C758A">
        <w:t>G = taxa representativa de garantias;</w:t>
      </w:r>
    </w:p>
    <w:p w:rsidR="006C758A" w:rsidRPr="006C758A" w:rsidRDefault="006C758A" w:rsidP="006C758A">
      <w:pPr>
        <w:spacing w:after="0" w:line="240" w:lineRule="auto"/>
      </w:pPr>
      <w:r w:rsidRPr="006C758A">
        <w:t>DF = taxa representativa das despesas financeiras</w:t>
      </w:r>
    </w:p>
    <w:p w:rsidR="006C758A" w:rsidRPr="006C758A" w:rsidRDefault="006C758A" w:rsidP="006C758A">
      <w:pPr>
        <w:spacing w:after="0" w:line="240" w:lineRule="auto"/>
      </w:pPr>
      <w:r w:rsidRPr="006C758A">
        <w:t xml:space="preserve">L = taxa representativa do Lucro/Remuneração; </w:t>
      </w:r>
      <w:proofErr w:type="gramStart"/>
      <w:r w:rsidRPr="006C758A">
        <w:t>e</w:t>
      </w:r>
      <w:proofErr w:type="gramEnd"/>
    </w:p>
    <w:p w:rsidR="006C758A" w:rsidRDefault="006C758A" w:rsidP="006C758A">
      <w:pPr>
        <w:spacing w:after="0" w:line="240" w:lineRule="auto"/>
      </w:pPr>
      <w:r w:rsidRPr="006C758A">
        <w:t>T = taxa representativa da incidência de tributos.</w:t>
      </w:r>
    </w:p>
    <w:p w:rsidR="006C758A" w:rsidRDefault="006C758A" w:rsidP="006C758A">
      <w:pPr>
        <w:spacing w:after="0" w:line="240" w:lineRule="auto"/>
      </w:pPr>
    </w:p>
    <w:p w:rsidR="009D1C37" w:rsidRPr="006C758A" w:rsidRDefault="006C758A">
      <w:r>
        <w:t>O percentual do BDI deverá ser norteado pelo</w:t>
      </w:r>
      <w:r w:rsidR="009D1C37" w:rsidRPr="006C758A">
        <w:t xml:space="preserve"> Acórdão do TCU nº 2.622/2013 – Plenário.</w:t>
      </w:r>
    </w:p>
    <w:sectPr w:rsidR="009D1C37" w:rsidRPr="006C758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6D" w:rsidRDefault="00AA5A6D" w:rsidP="00415E7D">
      <w:pPr>
        <w:spacing w:after="0" w:line="240" w:lineRule="auto"/>
      </w:pPr>
      <w:r>
        <w:separator/>
      </w:r>
    </w:p>
  </w:endnote>
  <w:endnote w:type="continuationSeparator" w:id="0">
    <w:p w:rsidR="00AA5A6D" w:rsidRDefault="00AA5A6D" w:rsidP="0041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6D" w:rsidRDefault="00AA5A6D" w:rsidP="00415E7D">
      <w:pPr>
        <w:spacing w:after="0" w:line="240" w:lineRule="auto"/>
      </w:pPr>
      <w:r>
        <w:separator/>
      </w:r>
    </w:p>
  </w:footnote>
  <w:footnote w:type="continuationSeparator" w:id="0">
    <w:p w:rsidR="00AA5A6D" w:rsidRDefault="00AA5A6D" w:rsidP="00415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A3653" wp14:editId="1432F914">
              <wp:simplePos x="0" y="0"/>
              <wp:positionH relativeFrom="column">
                <wp:posOffset>-400050</wp:posOffset>
              </wp:positionH>
              <wp:positionV relativeFrom="paragraph">
                <wp:posOffset>-57150</wp:posOffset>
              </wp:positionV>
              <wp:extent cx="1390650" cy="695325"/>
              <wp:effectExtent l="0" t="0" r="0" b="9525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7A0E" w:rsidRDefault="00E17A0E" w:rsidP="00E17A0E">
                          <w:r>
                            <w:rPr>
                              <w:noProof/>
                              <w:color w:val="000000" w:themeColor="text1"/>
                              <w:lang w:eastAsia="pt-BR"/>
                            </w:rPr>
                            <w:drawing>
                              <wp:inline distT="0" distB="0" distL="0" distR="0" wp14:anchorId="27C64E8B" wp14:editId="7DBFE097">
                                <wp:extent cx="1019331" cy="485775"/>
                                <wp:effectExtent l="0" t="0" r="9525" b="0"/>
                                <wp:docPr id="5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7144" cy="4894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31.5pt;margin-top:-4.5pt;width:109.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" stroked="f">
              <v:textbox>
                <w:txbxContent>
                  <w:p w:rsidR="00E17A0E" w:rsidRDefault="00E17A0E" w:rsidP="00E17A0E">
                    <w:r>
                      <w:rPr>
                        <w:noProof/>
                        <w:color w:val="000000" w:themeColor="text1"/>
                        <w:lang w:eastAsia="pt-BR"/>
                      </w:rPr>
                      <w:drawing>
                        <wp:inline distT="0" distB="0" distL="0" distR="0" wp14:anchorId="27C64E8B" wp14:editId="7DBFE097">
                          <wp:extent cx="1019331" cy="485775"/>
                          <wp:effectExtent l="0" t="0" r="9525" b="0"/>
                          <wp:docPr id="5" name="Imagem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7144" cy="4894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5771FA">
      <w:rPr>
        <w:color w:val="0D0D0D" w:themeColor="text1" w:themeTint="F2"/>
      </w:rPr>
      <w:t>SERVIÇO PÚBLICO FEDERAL</w:t>
    </w:r>
  </w:p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 w:rsidRPr="005771FA">
      <w:rPr>
        <w:color w:val="0D0D0D" w:themeColor="text1" w:themeTint="F2"/>
      </w:rPr>
      <w:t>UNIVERSIDADE FEDERAL RURAL DO SEMI-ÁRIDO</w:t>
    </w:r>
  </w:p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 w:rsidRPr="005771FA">
      <w:rPr>
        <w:color w:val="0D0D0D" w:themeColor="text1" w:themeTint="F2"/>
      </w:rPr>
      <w:t>SUPERINTENDÊNCIA DE INFRAESTRUTURA</w:t>
    </w:r>
  </w:p>
  <w:p w:rsidR="00E17A0E" w:rsidRDefault="00E17A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72"/>
    <w:rsid w:val="000546B9"/>
    <w:rsid w:val="000E1E17"/>
    <w:rsid w:val="001E5D0E"/>
    <w:rsid w:val="0028439B"/>
    <w:rsid w:val="002B78F6"/>
    <w:rsid w:val="00312CD0"/>
    <w:rsid w:val="003C0312"/>
    <w:rsid w:val="00415E7D"/>
    <w:rsid w:val="00506F06"/>
    <w:rsid w:val="00565ACC"/>
    <w:rsid w:val="005771FA"/>
    <w:rsid w:val="005E2320"/>
    <w:rsid w:val="00604566"/>
    <w:rsid w:val="006C758A"/>
    <w:rsid w:val="0074191C"/>
    <w:rsid w:val="00745E03"/>
    <w:rsid w:val="008120E3"/>
    <w:rsid w:val="008164AE"/>
    <w:rsid w:val="0083313A"/>
    <w:rsid w:val="008516D0"/>
    <w:rsid w:val="009A131D"/>
    <w:rsid w:val="009A606A"/>
    <w:rsid w:val="009D1C37"/>
    <w:rsid w:val="009F5096"/>
    <w:rsid w:val="00AA5A6D"/>
    <w:rsid w:val="00B62E22"/>
    <w:rsid w:val="00BE4349"/>
    <w:rsid w:val="00C368A3"/>
    <w:rsid w:val="00DE4BA5"/>
    <w:rsid w:val="00E17A0E"/>
    <w:rsid w:val="00F61D72"/>
    <w:rsid w:val="00FD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dicedeilustraes">
    <w:name w:val="table of figures"/>
    <w:basedOn w:val="Normal"/>
    <w:next w:val="Normal"/>
    <w:autoRedefine/>
    <w:uiPriority w:val="99"/>
    <w:rsid w:val="000E1E1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28439B"/>
    <w:pPr>
      <w:spacing w:after="0" w:line="360" w:lineRule="auto"/>
      <w:ind w:left="709" w:hanging="709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15E7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15E7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15E7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1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A0E"/>
  </w:style>
  <w:style w:type="paragraph" w:styleId="Rodap">
    <w:name w:val="footer"/>
    <w:basedOn w:val="Normal"/>
    <w:link w:val="Rodap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dicedeilustraes">
    <w:name w:val="table of figures"/>
    <w:basedOn w:val="Normal"/>
    <w:next w:val="Normal"/>
    <w:autoRedefine/>
    <w:uiPriority w:val="99"/>
    <w:rsid w:val="000E1E1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28439B"/>
    <w:pPr>
      <w:spacing w:after="0" w:line="360" w:lineRule="auto"/>
      <w:ind w:left="709" w:hanging="709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15E7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15E7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15E7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1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A0E"/>
  </w:style>
  <w:style w:type="paragraph" w:styleId="Rodap">
    <w:name w:val="footer"/>
    <w:basedOn w:val="Normal"/>
    <w:link w:val="Rodap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74E9B-1B31-40FA-BB1C-BFC40453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2018-10-11T19:34:00Z</cp:lastPrinted>
  <dcterms:created xsi:type="dcterms:W3CDTF">2017-03-31T13:11:00Z</dcterms:created>
  <dcterms:modified xsi:type="dcterms:W3CDTF">2018-10-11T19:35:00Z</dcterms:modified>
</cp:coreProperties>
</file>